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b/>
          <w:sz w:val="52"/>
        </w:rPr>
      </w:pPr>
      <w:r>
        <w:rPr>
          <w:b/>
          <w:sz w:val="52"/>
        </w:rPr>
        <w:t>Relazione annuale RPCT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b/>
          <w:sz w:val="44"/>
        </w:rPr>
      </w:pPr>
      <w:r>
        <w:rPr>
          <w:b/>
          <w:sz w:val="44"/>
        </w:rPr>
        <w:t>Anno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>
            <w:br w:type="page"/>
          </w:r>
          <w:r>
            <w:rPr>
              <w:i/>
              <w:szCs w:val="24"/>
            </w:rPr>
            <w:t>INDICE</w:t>
          </w:r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r>
            <w:fldChar w:fldCharType="begin"/>
          </w:r>
          <w:r>
            <w:rPr>
              <w:webHidden/>
              <w:rStyle w:val="Saltoaindice"/>
            </w:rPr>
            <w:instrText> TOC \z \o "1-3" \u \h</w:instrText>
          </w:r>
          <w:r>
            <w:rPr>
              <w:webHidden/>
              <w:rStyle w:val="Saltoaindice"/>
            </w:rPr>
            <w:fldChar w:fldCharType="separate"/>
          </w:r>
          <w:hyperlink w:anchor="_Toc56760951">
            <w:r>
              <w:rPr>
                <w:webHidden/>
                <w:rStyle w:val="Saltoaindice"/>
              </w:rPr>
              <w:t>SEZIONE 1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ANAGRAFICA SOCIET</w:t>
            </w:r>
            <w:r>
              <w:rPr>
                <w:rStyle w:val="Saltoaindice"/>
                <w:rFonts w:cs="Calibri Light" w:cstheme="majorHAnsi"/>
              </w:rPr>
              <w:t>À</w:t>
            </w:r>
            <w:r>
              <w:rPr>
                <w:rStyle w:val="Saltoaindice"/>
              </w:rPr>
              <w:t>/ENTE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52">
            <w:r>
              <w:rPr>
                <w:webHidden/>
                <w:rStyle w:val="Saltoaindice"/>
              </w:rPr>
              <w:t>SEZIONE 2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ANAGRAFICA RPCT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53">
            <w:r>
              <w:rPr>
                <w:webHidden/>
                <w:rStyle w:val="Saltoaindice"/>
              </w:rPr>
              <w:t>SEZIONE 3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RENDICONTAZIONE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54">
            <w:r>
              <w:rPr>
                <w:webHidden/>
                <w:rStyle w:val="Saltoaindice"/>
              </w:rPr>
              <w:t>3.1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Sintesi dell’attuazione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55">
            <w:r>
              <w:rPr>
                <w:webHidden/>
                <w:rStyle w:val="Saltoaindice"/>
              </w:rPr>
              <w:t>3.2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Doveri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56">
            <w:r>
              <w:rPr>
                <w:webHidden/>
                <w:rStyle w:val="Saltoaindice"/>
              </w:rPr>
              <w:t>3.3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Rotazione del personale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eastAsia="" w:eastAsiaTheme="minorEastAsia"/>
              <w:sz w:val="22"/>
              <w:szCs w:val="22"/>
              <w:lang w:eastAsia="it-IT"/>
            </w:rPr>
          </w:pPr>
          <w:hyperlink w:anchor="_Toc56760957">
            <w:r>
              <w:rPr>
                <w:webHidden/>
                <w:rStyle w:val="Saltoaindice"/>
              </w:rPr>
              <w:t>3.3.1</w:t>
            </w:r>
            <w:r>
              <w:rPr>
                <w:rStyle w:val="Saltoaindice"/>
                <w:rFonts w:eastAsia="" w:eastAsiaTheme="minorEastAsia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Rotazione 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eastAsia="" w:eastAsiaTheme="minorEastAsia"/>
              <w:sz w:val="22"/>
              <w:szCs w:val="22"/>
              <w:lang w:eastAsia="it-IT"/>
            </w:rPr>
          </w:pPr>
          <w:hyperlink w:anchor="_Toc56760958">
            <w:r>
              <w:rPr>
                <w:webHidden/>
                <w:rStyle w:val="Saltoaindice"/>
              </w:rPr>
              <w:t>3.3.2</w:t>
            </w:r>
            <w:r>
              <w:rPr>
                <w:rStyle w:val="Saltoaindice"/>
                <w:rFonts w:eastAsia="" w:eastAsiaTheme="minorEastAsia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Rotazione straordinaria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eastAsia="" w:eastAsiaTheme="minorEastAsia"/>
              <w:sz w:val="22"/>
              <w:szCs w:val="22"/>
              <w:lang w:eastAsia="it-IT"/>
            </w:rPr>
          </w:pPr>
          <w:hyperlink w:anchor="_Toc56760959">
            <w:r>
              <w:rPr>
                <w:webHidden/>
                <w:rStyle w:val="Saltoaindice"/>
              </w:rPr>
              <w:t>3.3.3</w:t>
            </w:r>
            <w:r>
              <w:rPr>
                <w:rStyle w:val="Saltoaindice"/>
                <w:rFonts w:eastAsia="" w:eastAsiaTheme="minorEastAsia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Trasferimento d’ufficio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_Toc56760959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0">
            <w:r>
              <w:rPr>
                <w:webHidden/>
                <w:rStyle w:val="Saltoaindice"/>
              </w:rPr>
              <w:t>3.4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in materia di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1">
            <w:r>
              <w:rPr>
                <w:webHidden/>
                <w:rStyle w:val="Saltoaindice"/>
              </w:rPr>
              <w:t>3.5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Whistleblowing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2">
            <w:r>
              <w:rPr>
                <w:webHidden/>
                <w:rStyle w:val="Saltoaindice"/>
              </w:rPr>
              <w:t>3.6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3">
            <w:r>
              <w:rPr>
                <w:webHidden/>
                <w:rStyle w:val="Saltoaindice"/>
              </w:rPr>
              <w:t>3.7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4">
            <w:r>
              <w:rPr>
                <w:webHidden/>
                <w:rStyle w:val="Saltoaindice"/>
              </w:rPr>
              <w:t>3.8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Pantouflage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5">
            <w:r>
              <w:rPr>
                <w:webHidden/>
                <w:rStyle w:val="Saltoaindice"/>
              </w:rPr>
              <w:t>3.9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Commissioni e conferimento incarichi in caso di condanna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6">
            <w:r>
              <w:rPr>
                <w:webHidden/>
                <w:rStyle w:val="Saltoaindice"/>
              </w:rPr>
              <w:t>3.10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Patti di integrità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7">
            <w:r>
              <w:rPr>
                <w:webHidden/>
                <w:rStyle w:val="Saltoaindice"/>
              </w:rPr>
              <w:t>3.11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Considerazioni conclusive sull’attuazione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68">
            <w:r>
              <w:rPr>
                <w:webHidden/>
                <w:rStyle w:val="Saltoaindice"/>
              </w:rPr>
              <w:t>SEZIONE 4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RENDICONTAZIONE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69">
            <w:r>
              <w:rPr>
                <w:webHidden/>
                <w:rStyle w:val="Saltoaindice"/>
              </w:rPr>
              <w:t>4.1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Quadro di sintesi dell’attuazione delle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_Toc56760969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70">
            <w:r>
              <w:rPr>
                <w:webHidden/>
                <w:rStyle w:val="Saltoaindice"/>
              </w:rPr>
              <w:t>SEZIONE 5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GESTIONE DEL RISCHIO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71">
            <w:r>
              <w:rPr>
                <w:webHidden/>
                <w:rStyle w:val="Saltoaindice"/>
              </w:rPr>
              <w:t>SEZIONE 6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PROCEDIMENTI PENALI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72">
            <w:r>
              <w:rPr>
                <w:webHidden/>
                <w:rStyle w:val="Saltoaindice"/>
              </w:rPr>
              <w:t>SEZIONE 7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PROCEDIMENTI DISCIPLINARI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73">
            <w:r>
              <w:rPr>
                <w:webHidden/>
                <w:rStyle w:val="Saltoaindice"/>
              </w:rPr>
              <w:t>SEZIONE 8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CONSIDERAZIONI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44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56760974">
            <w:r>
              <w:rPr>
                <w:webHidden/>
                <w:rStyle w:val="Saltoaindice"/>
              </w:rPr>
              <w:t>SEZIONE 9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75">
            <w:r>
              <w:rPr>
                <w:webHidden/>
                <w:rStyle w:val="Saltoaindice"/>
              </w:rPr>
              <w:t>9.1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controllo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76">
            <w:r>
              <w:rPr>
                <w:webHidden/>
                <w:rStyle w:val="Saltoaindice"/>
              </w:rPr>
              <w:t>9.2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77">
            <w:r>
              <w:rPr>
                <w:webHidden/>
                <w:rStyle w:val="Saltoaindice"/>
              </w:rPr>
              <w:t>9.3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definizione e promozione dell’etica e di standard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78">
            <w:r>
              <w:rPr>
                <w:webHidden/>
                <w:rStyle w:val="Saltoaindice"/>
              </w:rPr>
              <w:t>9.4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regolamentazione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79">
            <w:r>
              <w:rPr>
                <w:webHidden/>
                <w:rStyle w:val="Saltoaindice"/>
              </w:rPr>
              <w:t>9.5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semplificazione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_Toc56760979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80">
            <w:r>
              <w:rPr>
                <w:webHidden/>
                <w:rStyle w:val="Saltoaindice"/>
              </w:rPr>
              <w:t>9.6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_Toc56760980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81">
            <w:r>
              <w:rPr>
                <w:webHidden/>
                <w:rStyle w:val="Saltoaindice"/>
              </w:rPr>
              <w:t>9.7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rotazione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_Toc56760981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eastAsia="" w:eastAsiaTheme="minorEastAsia"/>
              <w:b w:val="false"/>
              <w:b w:val="false"/>
              <w:bCs w:val="false"/>
              <w:lang w:eastAsia="it-IT"/>
            </w:rPr>
          </w:pPr>
          <w:hyperlink w:anchor="_Toc56760982">
            <w:r>
              <w:rPr>
                <w:webHidden/>
                <w:rStyle w:val="Saltoaindice"/>
              </w:rPr>
              <w:t>9.8</w:t>
            </w:r>
            <w:r>
              <w:rPr>
                <w:rStyle w:val="Saltoaindice"/>
                <w:rFonts w:eastAsia="" w:eastAsiaTheme="minorEastAsia"/>
                <w:b w:val="false"/>
                <w:bCs w:val="false"/>
                <w:lang w:eastAsia="it-IT"/>
              </w:rPr>
              <w:tab/>
            </w:r>
            <w:r>
              <w:rPr>
                <w:rStyle w:val="Saltoaindice"/>
              </w:rPr>
              <w:t>Misure specifiche di disciplina del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_Toc56760982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Titolo1"/>
        <w:rPr/>
      </w:pPr>
      <w:bookmarkStart w:id="0" w:name="_Toc56760951"/>
      <w:r>
        <w:rPr/>
        <w:t>ANAGRAFICA SOCIET</w:t>
      </w:r>
      <w:r>
        <w:rPr>
          <w:rFonts w:cs="Calibri Light" w:cstheme="majorHAnsi"/>
        </w:rPr>
        <w:t>À</w:t>
      </w:r>
      <w:r>
        <w:rPr/>
        <w:t>/ENTE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Tipologia ente: Società in controllo pubblico ai sensi dell'art. 2 bis, comma 2, lett. b), del D. lgs. n. 33/2013. </w:t>
      </w:r>
    </w:p>
    <w:p>
      <w:pPr>
        <w:pStyle w:val="Normal"/>
        <w:rPr/>
      </w:pPr>
      <w:r>
        <w:rPr/>
        <w:t>Codice fiscale: 04305080758</w:t>
      </w:r>
    </w:p>
    <w:p>
      <w:pPr>
        <w:pStyle w:val="Normal"/>
        <w:rPr/>
      </w:pPr>
      <w:r>
        <w:rPr/>
        <w:t>Partita IVA: 00000000000</w:t>
      </w:r>
    </w:p>
    <w:p>
      <w:pPr>
        <w:pStyle w:val="Normal"/>
        <w:rPr/>
      </w:pPr>
      <w:r>
        <w:rPr/>
        <w:t xml:space="preserve">Denominazione: SANITA' SERVICE ASL LE S.R.L. UNIPERSONALE </w:t>
      </w:r>
    </w:p>
    <w:p>
      <w:pPr>
        <w:pStyle w:val="Normal"/>
        <w:rPr/>
      </w:pPr>
      <w:r>
        <w:rPr/>
        <w:t xml:space="preserve">Settori di attività ATECO: altre attivitàdi servizi </w:t>
      </w:r>
    </w:p>
    <w:p>
      <w:pPr>
        <w:pStyle w:val="Normal"/>
        <w:rPr/>
      </w:pPr>
      <w:r>
        <w:rPr/>
        <w:t>Regione di appartenenza: Puglia</w:t>
      </w:r>
    </w:p>
    <w:p>
      <w:pPr>
        <w:pStyle w:val="Normal"/>
        <w:rPr/>
      </w:pPr>
      <w:r>
        <w:rPr/>
        <w:t>Numero dipendenti: maggiore di 499</w:t>
      </w:r>
    </w:p>
    <w:p>
      <w:pPr>
        <w:pStyle w:val="Normal"/>
        <w:rPr/>
      </w:pPr>
      <w:r>
        <w:rPr/>
        <w:t>Numero Dirigenti: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Titolo1"/>
        <w:rPr/>
      </w:pPr>
      <w:bookmarkStart w:id="1" w:name="_Toc56760952"/>
      <w:r>
        <w:rPr/>
        <w:t>ANAGRAFICA RPCT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RPCT: NICOLA</w:t>
      </w:r>
    </w:p>
    <w:p>
      <w:pPr>
        <w:pStyle w:val="Normal"/>
        <w:rPr/>
      </w:pPr>
      <w:r>
        <w:rPr/>
        <w:t xml:space="preserve">Cognome RPCT: PASTORE </w:t>
      </w:r>
    </w:p>
    <w:p>
      <w:pPr>
        <w:pStyle w:val="Normal"/>
        <w:rPr/>
      </w:pPr>
      <w:r>
        <w:rPr/>
        <w:t xml:space="preserve">Qualifica:  Dirigente </w:t>
      </w:r>
    </w:p>
    <w:p>
      <w:pPr>
        <w:pStyle w:val="Normal"/>
        <w:rPr/>
      </w:pPr>
      <w:r>
        <w:rPr/>
        <w:t xml:space="preserve">Posizione occupata: Responsabile servizi vari Sanitaservice </w:t>
      </w:r>
    </w:p>
    <w:p>
      <w:pPr>
        <w:pStyle w:val="Normal"/>
        <w:jc w:val="both"/>
        <w:rPr/>
      </w:pPr>
      <w:r>
        <w:rPr/>
        <w:t>Data inizio incarico di RPCT: 30/03/2023</w:t>
      </w:r>
    </w:p>
    <w:p>
      <w:pPr>
        <w:pStyle w:val="Normal"/>
        <w:rPr/>
      </w:pPr>
      <w:r>
        <w:rPr/>
        <w:t>RPCT svolge anche le funzioni di Responsabile della Trasparenza.</w: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" w:name="_Toc56760953"/>
      <w:bookmarkStart w:id="3" w:name="OLE_LINK1"/>
      <w:r>
        <w:rPr/>
        <w:t>RENDICONTAZIONE MISURE GENERALI</w:t>
      </w:r>
      <w:bookmarkEnd w:id="2"/>
      <w:bookmarkEnd w:id="3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presente sezione illustra l’andamento relativo all’attuazione delle misure generali per l’anno di riferimento delle misure di prevenzione della corruzione, che nelle società in controllo pubblico, negli enti pubblici economici o negli enti di diritto privato possono essere contenute in un documento autonomo che tiene luogo del PTPCT ovvero in una sezione apposita ed identificabile del MOG.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Titolo2"/>
        <w:rPr/>
      </w:pPr>
      <w:bookmarkStart w:id="4" w:name="_Toc56760954"/>
      <w:r>
        <w:rPr/>
        <w:t>Sintesi dell’attuazione delle misure generali</w:t>
      </w:r>
      <w:bookmarkEnd w:id="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generali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8"/>
        <w:gridCol w:w="2359"/>
        <w:gridCol w:w="2695"/>
      </w:tblGrid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Misure generali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Pianificata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Attuata</w:t>
            </w:r>
          </w:p>
        </w:tc>
      </w:tr>
      <w:tr>
        <w:trPr>
          <w:trHeight w:val="390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Doveri di comportamento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SI, le misure sono state previste come integrazione del codice etico già adottato ai sensi del d.lgs. 231/2001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Si</w:t>
            </w:r>
          </w:p>
        </w:tc>
      </w:tr>
      <w:tr>
        <w:trPr>
          <w:trHeight w:val="26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Rotazione ordinaria del personale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Inconferibilità – incompatibilità – conflitto di interessi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Whistleblowing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Formazione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Trasparenza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Divieti post-employment - Pantouflage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Patti di integrità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Anagrafe Unica delle Stazioni Appaltanti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Tempi Procedimentali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en-US" w:bidi="ar-SA"/>
              </w:rPr>
              <w:t>Si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5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" wp14:anchorId="64DAA55A">
                <wp:simplePos x="0" y="0"/>
                <wp:positionH relativeFrom="column">
                  <wp:posOffset>237490</wp:posOffset>
                </wp:positionH>
                <wp:positionV relativeFrom="paragraph">
                  <wp:posOffset>40005</wp:posOffset>
                </wp:positionV>
                <wp:extent cx="5635625" cy="659765"/>
                <wp:effectExtent l="0" t="0" r="22860" b="26670"/>
                <wp:wrapTopAndBottom/>
                <wp:docPr id="1" name="Casella di tes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5" path="m0,0l-2147483645,0l-2147483645,-2147483646l0,-2147483646xe" fillcolor="#deebf7" stroked="t" o:allowincell="f" style="position:absolute;margin-left:18.7pt;margin-top:3.15pt;width:443.65pt;height:51.85pt;mso-wrap-style:square;v-text-anchor:top" wp14:anchorId="64DAA55A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rPr/>
      </w:pPr>
      <w:bookmarkStart w:id="5" w:name="_Toc56760955"/>
      <w:r>
        <w:rPr/>
        <w:t>Doveri di comportamento</w:t>
      </w:r>
      <w:bookmarkEnd w:id="5"/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nel2020</w:t>
        <w:br/>
        <w:t>Inoltre le suddette misure sono state aggiornate 1 volte.</w:t>
        <w:br/>
        <w:br/>
        <w:t>Tutti gli atti di incarico e i relativi contratti, sono stati adeguati alle previsioni del Codice di Comportamento adottato.</w:t>
        <w:br/>
        <w:br/>
        <w:t>Non sono state adottate ulteriori misure che garantiscono l'attuazione delle misure comportamentali per le seguenti motivazioni:</w:t>
        <w:br/>
        <w:t>Tutte le misure sono inserite direttamente nel MOG ex D.Lgs. n. 231/2001</w:t>
        <w:br/>
        <w:br/>
        <w:t>È stata prevista una apposita procedura di rilevazione delle situazioni di conflitto di interessi potenziale o reale in particolare sono state effettuate le seguenti attività:</w:t>
        <w:br/>
        <w:t xml:space="preserve">  - acquisizione e conservazione delle dichiarazioni di insussistenza di situazioni di conflitto di interessi da parte dei dipendenti al momento dell’assegnazione all’ufficio o della nomina a RUP</w:t>
        <w:br/>
        <w:t xml:space="preserve">  - monitoraggio delle situazioni di conflitto di interessi, attraverso la richiesta ai dipendenti di aggiornare con cadenza periodica delle dichiarazioni</w:t>
        <w:br/>
        <w:t xml:space="preserve">  - individuazione dei soggetti tenuti a ricevere e valutare le situazioni di conflitto di interessi</w:t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  <w:br/>
        <w:t xml:space="preserve">  - predisposizione di appositi moduli per agevolare la tempestiva presentazione della dichiarazione sulla sussistenza di situazioni di conflitto di interessi</w:t>
        <w:br/>
        <w:t xml:space="preserve">  - attività di sensibilizzazione del personale al rispetto di quanto previsto in materia dalla l. n. 241/1990 e dalle misure di comportamento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behindDoc="0" distT="3175" distB="0" distL="117475" distR="114300" simplePos="0" locked="0" layoutInCell="0" allowOverlap="1" relativeHeight="4" wp14:anchorId="13ED3931">
                <wp:simplePos x="0" y="0"/>
                <wp:positionH relativeFrom="column">
                  <wp:posOffset>237490</wp:posOffset>
                </wp:positionH>
                <wp:positionV relativeFrom="paragraph">
                  <wp:posOffset>232410</wp:posOffset>
                </wp:positionV>
                <wp:extent cx="5635625" cy="659765"/>
                <wp:effectExtent l="0" t="0" r="22860" b="26670"/>
                <wp:wrapTopAndBottom/>
                <wp:docPr id="3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path="m0,0l-2147483645,0l-2147483645,-2147483646l0,-2147483646xe" fillcolor="#deebf7" stroked="t" o:allowincell="f" style="position:absolute;margin-left:18.7pt;margin-top:18.3pt;width:443.65pt;height:51.85pt;mso-wrap-style:square;v-text-anchor:top" wp14:anchorId="13ED3931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6" w:name="_Toc56760956"/>
      <w:r>
        <w:rPr/>
        <w:t>Rotazione del personale</w:t>
      </w:r>
      <w:bookmarkEnd w:id="6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7" w:name="_Toc56760957"/>
      <w:r>
        <w:rPr/>
        <w:t>Rotazione ordinaria</w:t>
      </w:r>
      <w:bookmarkEnd w:id="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È stato adottato un Atto per l'implementazione della misura Rotazione Ordinaria del Personale.</w:t>
        <w:br/>
        <w:t>Tale atto individua i seguenti criteri di rotazione ordinaria del personale:</w:t>
        <w:br/>
        <w:t xml:space="preserve">  - uffici da sottoporre a rotazione</w:t>
        <w:br/>
        <w:t xml:space="preserve">  - caratteristiche della rotazione</w:t>
      </w:r>
    </w:p>
    <w:p>
      <w:pPr>
        <w:pStyle w:val="Normal"/>
        <w:rPr/>
      </w:pPr>
      <w:r>
        <w:rPr/>
        <w:br/>
        <w:t>Nell'anno di riferimento delle misure di prevenzione della corruzione in esame, sono state sottoposte a rotazione ordinaria le seguenti unità di personale:</w:t>
        <w:br/>
        <w:t xml:space="preserve">  - 1  dirigenti</w:t>
        <w:br/>
        <w:t xml:space="preserve">  - 0  non dirigenti</w:t>
        <w:br/>
        <w:br/>
        <w:t>Il personale oggetto di rotazione ordinaria, mediamente, ricopriva la posizione da cui è stato spostato:</w:t>
        <w:br/>
        <w:t>con riferimento al personale dirigente Fino a 3 anni</w:t>
        <w:br/>
        <w:br/>
        <w:t>Di seguito l’elenco delle aree di rischio in cui ricadono i processi che coinvolgevano il personale oggetto di rotazione ordinaria con il relativo livello di esposizione al rischio:</w:t>
        <w:br/>
        <w:t xml:space="preserve">  - E. Incarichi e nomine:  Media esposizione al rischio corruttivo</w:t>
      </w:r>
    </w:p>
    <w:p>
      <w:pPr>
        <w:pStyle w:val="Normal"/>
        <w:rPr/>
      </w:pPr>
      <w:r>
        <w:rPr/>
        <w:br/>
        <w:t>Nell'anno di riferimento delle misure di prevenzione della corruzione in esame, la società/ente è stata interessata da un processo di riorganizzazione.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8" w:name="_Toc56760958"/>
      <w:r>
        <w:rPr/>
        <w:t>Rotazione straordinaria</w:t>
      </w:r>
      <w:bookmarkEnd w:id="8"/>
    </w:p>
    <w:p>
      <w:pPr>
        <w:pStyle w:val="Normal"/>
        <w:rPr/>
      </w:pPr>
      <w:r>
        <w:rPr/>
        <w:br/>
        <w:t>Nell'anno di riferimento delle misure di prevenzione della corruzione in esame, la Rotazione Straordinaria non si è resa necessaria per assenza di procedimenti penali o disciplinari.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9" w:name="_Toc56760959"/>
      <w:r>
        <w:rPr/>
        <w:t>Trasferimento d’ufficio</w:t>
      </w:r>
      <w:bookmarkEnd w:id="9"/>
    </w:p>
    <w:p>
      <w:pPr>
        <w:pStyle w:val="Normal"/>
        <w:rPr/>
      </w:pPr>
      <w:r>
        <w:rPr/>
        <w:br/>
        <w:t>Nel documento unitario che tiene luogo del PTPCT o nella sezione apposita del M.O.G. non sono previste misure ai sensi dell'art. 3 della L. n. 97/2001 per le seguenti motivazioni:Trattasi di misure già inserite nel corpo del MOG ex D.Lgs. n. 231/2001</w:t>
        <w:br/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6" wp14:anchorId="3E09EAEB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5625" cy="659765"/>
                <wp:effectExtent l="0" t="0" r="22860" b="26670"/>
                <wp:wrapTopAndBottom/>
                <wp:docPr id="5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path="m0,0l-2147483645,0l-2147483645,-2147483646l0,-2147483646xe" fillcolor="#deebf7" stroked="t" o:allowincell="f" style="position:absolute;margin-left:19.9pt;margin-top:28.8pt;width:443.65pt;height:51.85pt;mso-wrap-style:square;v-text-anchor:top" wp14:anchorId="3E09EAEB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0" w:name="_Toc56760960"/>
      <w:r>
        <w:rPr/>
        <w:t>Misure in materia di conflitto di interessi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>
      <w:pPr>
        <w:pStyle w:val="Normal"/>
        <w:rPr/>
      </w:pPr>
      <w:r>
        <w:rPr/>
        <w:br/>
        <w:br/>
        <w:t xml:space="preserve">INCONFERIBILITÀ </w:t>
        <w:br/>
        <w:t>Nell'anno di riferimento delle misure di prevenzione della corruzione in esame, sono pervenute 0 dichiarazioni rese dagli interessati sull'insussistenza di cause di inconferibilità relative a 0 soggetti.</w:t>
        <w:br/>
        <w:br/>
        <w:t xml:space="preserve">INCOMPATIBILITÀ </w:t>
        <w:br/>
        <w:t>Nell'anno di riferimento delle misure di prevenzione della corruzione in esame, sono pervenute 0 dichiarazioni rese dagli interessati sull'insussistenza di cause di inconferibilità relative a 0 soggetti.</w:t>
        <w:br/>
        <w:br/>
        <w:t>Nel documento unitario che tiene luogo del PTPCT o nella sezione apposita del M.O.G., nell'atto o regolamento adottato sulle misure di inconferibilità ed incompatibilità per incarichi dirigenziali ai sensi del D.lgs. 39/2013, sono esplicitate le direttive per effettuare controlli sui precedenti penali.</w:t>
        <w:br/>
        <w:br/>
        <w:t>Nell'anno di riferimento delle misure di prevenzione della corruzione in esame, non sono stati effettuati controlli sulle dichiarazioni relative ai precedenti penali.</w:t>
        <w:br/>
        <w:br/>
        <w:t>CONFLITTO DI INTERESSI</w:t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8" wp14:anchorId="399387B3">
                <wp:simplePos x="0" y="0"/>
                <wp:positionH relativeFrom="column">
                  <wp:posOffset>247015</wp:posOffset>
                </wp:positionH>
                <wp:positionV relativeFrom="paragraph">
                  <wp:posOffset>307340</wp:posOffset>
                </wp:positionV>
                <wp:extent cx="5635625" cy="659765"/>
                <wp:effectExtent l="0" t="0" r="22860" b="26670"/>
                <wp:wrapTopAndBottom/>
                <wp:docPr id="7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path="m0,0l-2147483645,0l-2147483645,-2147483646l0,-2147483646xe" fillcolor="#deebf7" stroked="t" o:allowincell="f" style="position:absolute;margin-left:19.45pt;margin-top:24.2pt;width:443.65pt;height:51.85pt;mso-wrap-style:square;v-text-anchor:top" wp14:anchorId="399387B3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Titolo2"/>
        <w:rPr/>
      </w:pPr>
      <w:bookmarkStart w:id="11" w:name="_Toc56760961"/>
      <w:r>
        <w:rPr/>
        <w:t>Whistleblowing</w:t>
      </w:r>
      <w:bookmarkEnd w:id="11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Nell'anno di riferimento delle misure di prevenzione della corruzione in esame, sono stati adottati gli interventi idonei a garantire l’adozione della misura “Whistleblowing”.</w:t>
      </w:r>
    </w:p>
    <w:p>
      <w:pPr>
        <w:pStyle w:val="Normal"/>
        <w:rPr/>
      </w:pPr>
      <w:r>
        <w:rPr/>
        <w:br/>
        <w:t>Possono effettuare le segnalazioni solo gli altri soggetti assimilati a dipendenti pubblici quali ad esempio:</w:t>
        <w:br/>
        <w:t xml:space="preserve">  - consulenti</w:t>
        <w:br/>
        <w:t xml:space="preserve">  - collaboratori</w:t>
        <w:br/>
        <w:t xml:space="preserve">  - Fornitori, subfornitori e dipendenti e collaboratori degli stessi, volontari e tirocinanti (retribuiti e non retribuiti), ex dipendenti, ex collaboratori o persone che non ricoprono più una delle altre posizioni, soggetti in fase di selezione, di prova o il cui rapporto giuridico con l'ente non sia ancora iniziato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2" wp14:anchorId="315B16F5">
                <wp:simplePos x="0" y="0"/>
                <wp:positionH relativeFrom="column">
                  <wp:posOffset>332105</wp:posOffset>
                </wp:positionH>
                <wp:positionV relativeFrom="paragraph">
                  <wp:posOffset>250825</wp:posOffset>
                </wp:positionV>
                <wp:extent cx="5635625" cy="659765"/>
                <wp:effectExtent l="0" t="0" r="22860" b="26670"/>
                <wp:wrapTopAndBottom/>
                <wp:docPr id="9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path="m0,0l-2147483645,0l-2147483645,-2147483646l0,-2147483646xe" fillcolor="#deebf7" stroked="t" o:allowincell="f" style="position:absolute;margin-left:26.15pt;margin-top:19.75pt;width:443.65pt;height:51.85pt;mso-wrap-style:square;v-text-anchor:top" wp14:anchorId="315B16F5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Titolo2"/>
        <w:rPr/>
      </w:pPr>
      <w:bookmarkStart w:id="12" w:name="_Toc56760962"/>
      <w:bookmarkStart w:id="13" w:name="_Toc19022237"/>
      <w:r>
        <w:rPr/>
        <w:t>Formazione</w:t>
      </w:r>
      <w:bookmarkEnd w:id="12"/>
      <w:bookmarkEnd w:id="13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>
      <w:pPr>
        <w:pStyle w:val="Normal"/>
        <w:rPr/>
      </w:pPr>
      <w:r>
        <w:rPr/>
        <w:br/>
        <w:t>La formazione tecnica/specialistica è stata erogata a:</w:t>
        <w:br/>
        <w:t xml:space="preserve">  - Staff del RPCT per un numero medio di ore pari a 3</w:t>
        <w:br/>
        <w:t xml:space="preserve">  - Altre figure per un numero medio di ore pari a 3</w:t>
      </w:r>
    </w:p>
    <w:p>
      <w:pPr>
        <w:pStyle w:val="Normal"/>
        <w:rPr/>
      </w:pPr>
      <w:r>
        <w:rPr/>
        <w:br/>
        <w:t>Non sono stati somministrati ai partecipanti presenti questionari finalizzati a misurare il loro livello di gradimento e/o apprendimento.</w:t>
      </w:r>
    </w:p>
    <w:p>
      <w:pPr>
        <w:pStyle w:val="Normal"/>
        <w:rPr/>
      </w:pPr>
      <w:r>
        <w:rPr/>
        <w:br/>
        <w:t>La formazione è stata affidata a soggetti esterni in dettaglio:</w:t>
        <w:br/>
        <w:t xml:space="preserve">  - Formazione in house</w:t>
        <w:br/>
        <w:t xml:space="preserve">  - Avv. Michele Bonsegna (OdV monocratico Sanitaservice ASL Le S.r.l. Unipersonale)</w:t>
      </w:r>
    </w:p>
    <w:p>
      <w:pPr>
        <w:pStyle w:val="Normal"/>
        <w:pBdr>
          <w:bottom w:val="single" w:sz="4" w:space="1" w:color="000000"/>
        </w:pBdr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42" wp14:anchorId="6454F70E">
                <wp:simplePos x="0" y="0"/>
                <wp:positionH relativeFrom="column">
                  <wp:posOffset>247015</wp:posOffset>
                </wp:positionH>
                <wp:positionV relativeFrom="paragraph">
                  <wp:posOffset>298450</wp:posOffset>
                </wp:positionV>
                <wp:extent cx="5635625" cy="659765"/>
                <wp:effectExtent l="0" t="0" r="22860" b="26670"/>
                <wp:wrapTopAndBottom/>
                <wp:docPr id="11" name="Casella di testo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3" path="m0,0l-2147483645,0l-2147483645,-2147483646l0,-2147483646xe" fillcolor="#deebf7" stroked="t" o:allowincell="f" style="position:absolute;margin-left:19.45pt;margin-top:23.5pt;width:443.65pt;height:51.85pt;mso-wrap-style:square;v-text-anchor:top" wp14:anchorId="6454F70E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Titolo2"/>
        <w:rPr/>
      </w:pPr>
      <w:bookmarkStart w:id="14" w:name="_Toc56760963"/>
      <w:r>
        <w:rPr/>
        <w:t>Trasparenza</w:t>
      </w:r>
      <w:bookmarkEnd w:id="1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Nell'anno di riferimento delle misure di prevenzione della corruzione in esame, sono stati svolti monitoraggi sulla pubblicazione dei dati con periodicità mensile.</w:t>
        <w:br/>
        <w:t>I monitoraggi non hanno evidenziato irregolarità nella pubblicazione dei dati.</w:t>
      </w:r>
    </w:p>
    <w:p>
      <w:pPr>
        <w:pStyle w:val="Normal"/>
        <w:rPr/>
      </w:pPr>
      <w:r>
        <w:rPr/>
        <w:br/>
        <w:t>La società/ente ha realizzato l'informatizzazione del flusso per alimentare la pubblicazione dei dati nella sezione “Amministrazione/Società trasparente”.</w:t>
        <w:br/>
        <w:br/>
        <w:t>Il sito istituzionale, relativamente alla sezione "Amministrazione trasparente", non traccia il numero delle visite.</w:t>
        <w:br/>
        <w:br/>
        <w:t>La procedura per la gestione delle richieste di accesso civico “semplice”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br/>
        <w:t>Nell’anno di riferimento delle misure di prevenzione della corruzione in esame non sono pervenute richieste di accesso civico "semplice".</w:t>
        <w:br/>
        <w:br/>
        <w:t>La procedura per la gestione delle richieste di accesso civico “generalizzato”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br/>
        <w:t>Nell’anno di riferimento delle misure di prevenzione della corruzione in esame non sono pervenute richieste di accesso civico “generalizzato”.</w:t>
        <w:br/>
        <w:br/>
        <w:t>La procedura per la gestione delle richieste di accesso documentale ai sensi della legge n. 241/1990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br/>
        <w:t>Nell’anno di riferimento delle misure di prevenzione della corruzione in esame, sono pervenute 9 richieste di accesso documentale che sono state evase con il seguente esito:</w:t>
        <w:br/>
        <w:t xml:space="preserve">  9  richieste con “informazione fornita all'utente”</w:t>
        <w:br/>
        <w:t xml:space="preserve">  0  richieste con “informazione non fornita all'utente”</w:t>
        <w:br/>
        <w:br/>
        <w:t>È stata adottata un'unica procedura per la disciplina organica e coordinata delle tre diverse tipologie di accesso: civico semplice, civico generalizzato, documentale ai sensi della legge n. 241/1990.</w:t>
        <w:br/>
        <w:br/>
        <w:t>È stato istituito il registro degli accessi ed è stata rispettata l'indicazione che prevede di riportare nel registro l'esito delle istanze</w:t>
        <w:br/>
        <w:br/>
        <w:t>In merito al livello di adempimento degli obblighi di trasparenza, si formula il seguente giudizio: Si sta ancora sperimentando l'avvio, per il tramite del Responsabile Servizio Sistemi informativi, della creazione di un protocollo informatizzato.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10" wp14:anchorId="3D00F7CD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5625" cy="659765"/>
                <wp:effectExtent l="0" t="0" r="22860" b="26670"/>
                <wp:wrapTopAndBottom/>
                <wp:docPr id="13" name="Casella di test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0" path="m0,0l-2147483645,0l-2147483645,-2147483646l0,-2147483646xe" fillcolor="#deebf7" stroked="t" o:allowincell="f" style="position:absolute;margin-left:10.5pt;margin-top:28.4pt;width:443.65pt;height:51.85pt;mso-wrap-style:square;v-text-anchor:top" wp14:anchorId="3D00F7CD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5" w:name="_Toc56760964"/>
      <w:r>
        <w:rPr/>
        <w:t>Pantouflage</w:t>
      </w:r>
      <w:bookmarkEnd w:id="1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br/>
        <w:t>Nell’anno di riferimento delle misure di prevenzione della corruzione in esame, non sono stati effettuati controlli sull'attuazione della misura.</w:t>
        <w:br/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  <w:br/>
        <w:t xml:space="preserve">  - è stata inserita negli interpelli o nell’ambito della selezione del personale la clausola in materia di pantouflage</w:t>
        <w:br/>
        <w:t xml:space="preserve">  - è stata resa dagli interessati espressa dichiarazione di insussistenza della causa ostativa</w:t>
        <w:br/>
        <w:t xml:space="preserve">  - è stata svolta attività di vigilanza secondo criteri autonomamente definiti e su eventuale segnalazione di soggetti esterni</w:t>
        <w:br/>
        <w:br/>
        <w:t>Sono state adottate, ai sensi dell'art. 53, co. 16 ter, del D.lgs. 165/2001, e artt. 2 e 21, del D.lgs. 39/2013, misure volte ad evitare che il proprio personale cessato dall'impiego che abbia esercitato, per conto della società/ente, negli ultimi tre anni di servizio, poteri autoritativi o negoziali nei confronti di altri soggetti svolga attività lavorativa o professionale presso i medesimi soggetti destinatari dell'esercizio di tali poteri (quali, ad esempio, la previsione di obblighi in capo al personale cessato di informare la società/ente degli incarichi assunti nei tre anni successivi alla cessazione).</w:t>
        <w:br/>
        <w:t>In particolare sono state adottate le seguenti misure:  Nei bandi di gara o negli atti prodromici agli affidamenti, anche mediante procedura negoziata, è inserita la condizione soggettiva di non aver concluso contratti di lavoro subordinato o autonomo e comunque di non aver attribuito incarichi ad ex dipendenti che hanno eservitato poteri autoritativi o negoziali per conto delle pubbliche amministrazioni nei loro confronti.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12" wp14:anchorId="581477F5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5625" cy="659765"/>
                <wp:effectExtent l="0" t="0" r="22860" b="26670"/>
                <wp:wrapTopAndBottom/>
                <wp:docPr id="15" name="Casella di test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1" path="m0,0l-2147483645,0l-2147483645,-2147483646l0,-2147483646xe" fillcolor="#deebf7" stroked="t" o:allowincell="f" style="position:absolute;margin-left:19.1pt;margin-top:15.95pt;width:443.65pt;height:51.85pt;mso-wrap-style:square;v-text-anchor:top;mso-position-horizontal:center;mso-position-horizontal-relative:margin" wp14:anchorId="581477F5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6" w:name="_Toc56760965"/>
      <w:r>
        <w:rPr/>
        <w:t>Commissioni e conferimento incarichi in caso di condanna</w:t>
      </w:r>
      <w:bookmarkEnd w:id="16"/>
    </w:p>
    <w:p>
      <w:pPr>
        <w:pStyle w:val="Normal"/>
        <w:spacing w:before="240" w:after="0"/>
        <w:rPr/>
      </w:pPr>
      <w:r>
        <w:rPr/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  <w:br/>
        <w:br/>
        <w:t>Nell’anno di riferimento delle misure di prevenzione della corruzione in esame, non sono pervenute segnalazioni relative alla violazione dei divieti contenuti nell’art. 35 bis del d.lgs. n. 165/2001.</w:t>
        <w:br/>
        <w:br/>
        <w:t>Nell’anno di riferimento delle misure di prevenzione della corruzione in esame, non sono stati effettuati controlli sull’attuazione della misura.</w:t>
      </w:r>
    </w:p>
    <w:p>
      <w:pPr>
        <w:pStyle w:val="Normal"/>
        <w:spacing w:before="240" w:after="0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14" wp14:anchorId="63CE76E6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5625" cy="659765"/>
                <wp:effectExtent l="0" t="0" r="22860" b="26670"/>
                <wp:wrapTopAndBottom/>
                <wp:docPr id="17" name="Casella di test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2" path="m0,0l-2147483645,0l-2147483645,-2147483646l0,-2147483646xe" fillcolor="#deebf7" stroked="t" o:allowincell="f" style="position:absolute;margin-left:19.1pt;margin-top:32.95pt;width:443.65pt;height:51.85pt;mso-wrap-style:square;v-text-anchor:top;mso-position-horizontal:center;mso-position-horizontal-relative:margin" wp14:anchorId="63CE76E6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7" w:name="_Toc56760966"/>
      <w:r>
        <w:rPr/>
        <w:t>Patti di integrità</w:t>
      </w:r>
      <w:bookmarkEnd w:id="1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delle misure di prevenzione della corruzione in esame, le clausole dei Patti di Integrità sono state inserite in 4 bandi.</w:t>
        <w:br/>
        <w:br/>
        <w:t>Nell’anno di riferimento delle misure di prevenzione della corruzione in esame, sono stati stipulati Patti di Integrità con 4 soggetti.</w:t>
        <w:br/>
        <w:br/>
        <w:t>Nell’anno di riferimento delle misure di prevenzione della corruzione in esame, sono state effettuate 4 verifiche sull’attuazione della misura in seguito alle quali  non sono state accertate violazioni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behindDoc="0" distT="3175" distB="0" distL="117475" distR="114300" simplePos="0" locked="0" layoutInCell="0" allowOverlap="1" relativeHeight="16" wp14:anchorId="58092AA7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5625" cy="659765"/>
                <wp:effectExtent l="0" t="0" r="22860" b="26670"/>
                <wp:wrapTopAndBottom/>
                <wp:docPr id="19" name="Casella di test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3" path="m0,0l-2147483645,0l-2147483645,-2147483646l0,-2147483646xe" fillcolor="#deebf7" stroked="t" o:allowincell="f" style="position:absolute;margin-left:24.9pt;margin-top:27.3pt;width:443.65pt;height:51.85pt;mso-wrap-style:square;v-text-anchor:top" wp14:anchorId="58092AA7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8" w:name="_Toc56760967"/>
      <w:r>
        <w:rPr/>
        <w:t>Considerazioni conclusive sull’attuazione delle misure generali</w:t>
      </w:r>
      <w:bookmarkEnd w:id="1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complesso delle misure attuate ha avuto un impatto/effetto (diretto o indiretto):</w:t>
        <w:br/>
        <w:t xml:space="preserve">  - positivo sulla qualità dei servizi</w:t>
        <w:br/>
        <w:t xml:space="preserve">  - positivo sull'efficienza dei servizi (es. in termini di riduzione dei tempi di erogazione dei servizi)</w:t>
        <w:br/>
        <w:t xml:space="preserve">  - positivo sul funzionamento della società/ente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positivo su Sulle relazioni con i dipendenti e gli organi direttivi e/o di vigilanza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44" wp14:anchorId="4104A142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5625" cy="659765"/>
                <wp:effectExtent l="0" t="0" r="22860" b="26670"/>
                <wp:wrapTopAndBottom/>
                <wp:docPr id="21" name="Casella di test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0" path="m0,0l-2147483645,0l-2147483645,-2147483646l0,-2147483646xe" fillcolor="#deebf7" stroked="t" o:allowincell="f" style="position:absolute;margin-left:25.05pt;margin-top:12.65pt;width:443.65pt;height:51.85pt;mso-wrap-style:square;v-text-anchor:top" wp14:anchorId="4104A142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rPr/>
      </w:pPr>
      <w:bookmarkStart w:id="19" w:name="_Toc56760968"/>
      <w:bookmarkStart w:id="20" w:name="_Toc19022243"/>
      <w:r>
        <w:rPr/>
        <w:t>RENDICONTAZIONE MISURE SPECIFICHE</w:t>
      </w:r>
      <w:bookmarkEnd w:id="19"/>
      <w:bookmarkEnd w:id="2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documento unitario che tiene luogo del PTPCT o nella sezione apposita del M.O.G. in esame, non sono state programmate misure specifiche per le seguenti motivazioni: La veste societaria di Sanitaservice, in house di ASL Lecce, non richiede misure specifiche rientrando la totalità delle attività svolte dalla stessa in quelle coperte e previste dalle misure generali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presente sezione illustra l’andamento relativo all’attuazione delle misure specifiche per </w:t>
      </w:r>
      <w:r>
        <w:rPr>
          <w:color w:val="000000" w:themeColor="text1"/>
        </w:rPr>
        <w:t xml:space="preserve">l’anno di riferimento </w:t>
      </w:r>
      <w:r>
        <w:rPr/>
        <w:t>delle misure di prevenzione della corruzione in esame.</w: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21" w:name="_Toc56760969"/>
      <w:r>
        <w:rPr/>
        <w:t>Quadro di sintesi dell’attuazione delle misure specifiche</w:t>
      </w:r>
      <w:bookmarkEnd w:id="21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specifiche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3"/>
        <w:gridCol w:w="1789"/>
        <w:gridCol w:w="1532"/>
        <w:gridCol w:w="1906"/>
        <w:gridCol w:w="1382"/>
      </w:tblGrid>
      <w:tr>
        <w:trPr/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Ambito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Pianificate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Attuate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Non attuate</w:t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it-IT" w:eastAsia="en-US" w:bidi="ar-SA"/>
              </w:rPr>
              <w:t>% attuazione</w:t>
            </w:r>
          </w:p>
        </w:tc>
      </w:tr>
      <w:tr>
        <w:trPr/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Non si applica 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- 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- 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- </w:t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-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4" wp14:anchorId="61DEB32E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5625" cy="659765"/>
                <wp:effectExtent l="0" t="0" r="22860" b="26670"/>
                <wp:wrapTopAndBottom/>
                <wp:docPr id="23" name="Casella di test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9" path="m0,0l-2147483645,0l-2147483645,-2147483646l0,-2147483646xe" fillcolor="#deebf7" stroked="t" o:allowincell="f" style="position:absolute;margin-left:19.1pt;margin-top:23.8pt;width:443.65pt;height:51.85pt;mso-wrap-style:square;v-text-anchor:top;mso-position-horizontal:center;mso-position-horizontal-relative:margin" wp14:anchorId="61DEB32E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2" w:name="_Toc56760970"/>
      <w:bookmarkStart w:id="23" w:name="_Toc19022245"/>
      <w:r>
        <w:rPr/>
        <w:t>MONITORAGGIO GESTIONE DEL RISCHIO</w:t>
      </w:r>
      <w:bookmarkEnd w:id="22"/>
      <w:bookmarkEnd w:id="23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dell'anno di riferimento del PTPCT, non sono pervenute segnalazioni per eventi corruttivi.</w:t>
        <w:br/>
        <w:br/>
        <w:t xml:space="preserve">Si ritiene che la messa in atto del processo di gestione del rischio abbia generato dentro l’organizzazione i seguenti effetti: </w:t>
        <w:br/>
        <w:t xml:space="preserve">  - la consapevolezza del fenomeno corruttivo è aumentata</w:t>
        <w:br/>
        <w:t xml:space="preserve">  - la capacità di individuare e far emergere situazioni di rischio corruttivo e di intervenire con adeguati rimedi è aumentata</w:t>
        <w:br/>
        <w:t xml:space="preserve">  - la reputazione dell'ente è aumentata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46" wp14:anchorId="423B87D2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5625" cy="659765"/>
                <wp:effectExtent l="0" t="0" r="22860" b="26670"/>
                <wp:wrapTopAndBottom/>
                <wp:docPr id="25" name="Casella di testo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5" path="m0,0l-2147483645,0l-2147483645,-2147483646l0,-2147483646xe" fillcolor="#deebf7" stroked="t" o:allowincell="f" style="position:absolute;margin-left:18.3pt;margin-top:9.1pt;width:443.65pt;height:51.85pt;mso-wrap-style:square;v-text-anchor:top" wp14:anchorId="423B87D2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rPr/>
      </w:pPr>
      <w:bookmarkStart w:id="24" w:name="_Toc56760971"/>
      <w:bookmarkStart w:id="25" w:name="_Toc19022247"/>
      <w:r>
        <w:rPr/>
        <w:t>MONITORAGGIO PROCEDIMENTI PENALI</w:t>
      </w:r>
      <w:bookmarkEnd w:id="24"/>
      <w:bookmarkEnd w:id="25"/>
      <w:r>
        <w:rPr/>
        <w:t xml:space="preserve">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  <w:br/>
        <w:br/>
        <w:t>Nell'anno di riferimento del PTPCT l’amministrazione non ha avuto notizia da parte di propri dipendenti di essere stati destinatari di un procedimento penale.</w:t>
        <w:br/>
        <w:br/>
        <w:t>Nell'anno di riferimento del PTPCT non è stata emessa nessuna sentenza di condanna non definitiva nei confronti di dipendenti dell'amministrazione.</w:t>
        <w:br/>
        <w:br/>
        <w:t>Nell'anno di riferimento del PTPCT non è stata emessa nessuna sentenza di condanna definitiva nei confronti di dipendenti dell'amministrazione.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18" wp14:anchorId="6FC982F7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5635625" cy="659765"/>
                <wp:effectExtent l="0" t="0" r="22860" b="26670"/>
                <wp:wrapTopAndBottom/>
                <wp:docPr id="27" name="Casella di testo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7" path="m0,0l-2147483645,0l-2147483645,-2147483646l0,-2147483646xe" fillcolor="#deebf7" stroked="t" o:allowincell="f" style="position:absolute;margin-left:19.1pt;margin-top:15.85pt;width:443.65pt;height:51.85pt;mso-wrap-style:square;v-text-anchor:top;mso-position-horizontal:center;mso-position-horizontal-relative:margin" wp14:anchorId="6FC982F7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6" w:name="_Toc56760972"/>
      <w:bookmarkStart w:id="27" w:name="_Toc19022248"/>
      <w:r>
        <w:rPr/>
        <w:t>MONITORAGGIO PROCEDIMENTI DISCIPLINARI</w:t>
      </w:r>
      <w:bookmarkEnd w:id="26"/>
      <w:bookmarkEnd w:id="27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Nel corso dell’anno di riferimento del PTPCT non sono stati avviati procedimenti disciplinari riconducibili a eventi corruttivi a carico di dipendenti.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0" wp14:anchorId="66DE801B">
                <wp:simplePos x="0" y="0"/>
                <wp:positionH relativeFrom="column">
                  <wp:posOffset>194310</wp:posOffset>
                </wp:positionH>
                <wp:positionV relativeFrom="paragraph">
                  <wp:posOffset>314325</wp:posOffset>
                </wp:positionV>
                <wp:extent cx="5635625" cy="659765"/>
                <wp:effectExtent l="0" t="0" r="22860" b="26670"/>
                <wp:wrapTopAndBottom/>
                <wp:docPr id="29" name="Casella di testo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8" path="m0,0l-2147483645,0l-2147483645,-2147483646l0,-2147483646xe" fillcolor="#deebf7" stroked="t" o:allowincell="f" style="position:absolute;margin-left:15.3pt;margin-top:24.75pt;width:443.65pt;height:51.85pt;mso-wrap-style:square;v-text-anchor:top" wp14:anchorId="66DE801B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8" w:name="_Toc19022249"/>
      <w:bookmarkStart w:id="29" w:name="_Toc56760973"/>
      <w:r>
        <w:rPr/>
        <w:t>CONSIDERAZIONI GENERALI</w:t>
      </w:r>
      <w:bookmarkEnd w:id="29"/>
      <w:r>
        <w:rPr/>
        <w:t xml:space="preserve"> </w:t>
      </w:r>
      <w:bookmarkEnd w:id="2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ritiene che la messa in atto del processo di gestione del rischio abbia generato dentro l’organizzazione i seguenti effetti: medio per le seguenti ragioni: Il cambiamento culturale necessario in tutti i dipendenti rappresenta la criticità maggiore. In tal senso, nel corso dell'anno 2025 si sono tenuti vari incontri sul tema, coinvolgendo figure apicali e i dipendenti incardinati nelle aree centrali di Sanitaservice e per i 2026 si continuerà a programmare incontri per divulgare la necessità di comprendere l'importanza dei contenuti delle norme.</w:t>
        <w:br/>
        <w:br/>
        <w:t>Si ritiene che l’idoneità complessiva della strategia di prevenzione della corruzione (definita attraverso una valutazione sintetica) con particolare riferimento alle misure previste nel Piano e attuate sia idoneo per le seguenti ragioni: Il Piano è stato attuato pienamente, con inclusione della rotazione, nell'anno 2023, di 4 Responsabili di Servizio Sanitaservice, con l'assegnazione nell'ottobre 2024 del "Servizio conduzione funzionale e gestione del sistema informativo automatizzato aziendale" a 1 dei 4 Responsabili di Servizio e infine una nuova assegnazione nel gennaio 2025 a uno dei Responsabili per il medesimo Servizio.</w:t>
        <w:br/>
        <w:br/>
        <w:t>Si ritiene che l'esercizio del ruolo di impulso e coordinamento del RPCT rispetto alla messa in atto del processo di gestione del rischio (definito attraverso una valutazione sintetica) sia stato idoneo per le seguenti ragioni: Il Rpct ha dato diffusione del contenuto del Piano grazie alla pubblicazione sul sito aziendale. L'azione del RPCT, sostenuta da un'adeguata cultura condivisa con i Responsabili delle diverse aree funzionali, si è accompagnata alla costante interazione con l'OdV aziendale.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48" wp14:anchorId="0B8A2C30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5625" cy="659765"/>
                <wp:effectExtent l="0" t="0" r="22860" b="26670"/>
                <wp:wrapTopAndBottom/>
                <wp:docPr id="31" name="Casella di testo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9" path="m0,0l-2147483645,0l-2147483645,-2147483646l0,-2147483646xe" fillcolor="#deebf7" stroked="t" o:allowincell="f" style="position:absolute;margin-left:19.1pt;margin-top:23.35pt;width:443.65pt;height:51.85pt;mso-wrap-style:square;v-text-anchor:top;mso-position-horizontal:center;mso-position-horizontal-relative:margin" wp14:anchorId="0B8A2C30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30" w:name="_Toc56760974"/>
      <w:r>
        <w:rPr/>
        <w:t>MONITORAGGIO MISURE SPECIFICHE</w:t>
      </w:r>
      <w:bookmarkEnd w:id="30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Il presente allegato illustra l’andamento relativo all’attuazione delle singole misure specifiche programmate nell’anno di riferimento del PTPC.</w: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1" w:name="_Toc56760975"/>
      <w:r>
        <w:rPr/>
        <w:t>Misure specifiche di controllo</w:t>
      </w:r>
      <w:bookmarkEnd w:id="3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controllo.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6" wp14:anchorId="6E59AB8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33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6E59AB82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2" w:name="_Toc56760976"/>
      <w:r>
        <w:rPr/>
        <w:t>Misure specifiche di trasparenza</w:t>
      </w:r>
      <w:bookmarkEnd w:id="32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trasparenza.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28" wp14:anchorId="01158A7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3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01158A79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3" w:name="_Toc56760977"/>
      <w:r>
        <w:rPr/>
        <w:t>Misure specifiche di definizione e promozione dell’etica e di standard di comportamento</w:t>
      </w:r>
      <w:bookmarkEnd w:id="3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definizione e promozione dell’etica e di standard di comportamento.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30" wp14:anchorId="326DFB5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37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326DFB55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Titolo2"/>
        <w:rPr/>
      </w:pPr>
      <w:bookmarkStart w:id="34" w:name="_Toc56760978"/>
      <w:r>
        <w:rPr/>
        <w:t>Misure specifiche di regolamentazione</w:t>
      </w:r>
      <w:bookmarkEnd w:id="34"/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Non sono state programmate misure specifiche di regolamentazione.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32" wp14:anchorId="404FA84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39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404FA846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5" w:name="_Toc56760979"/>
      <w:r>
        <w:rPr/>
        <w:t>Misure specifiche di semplificazione</w:t>
      </w:r>
      <w:bookmarkEnd w:id="3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semplificazione.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34" wp14:anchorId="4AF753D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41" name="Casella di test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4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4AF753D8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6" w:name="_Toc56760980"/>
      <w:r>
        <w:rPr/>
        <w:t>Misure specifiche di formazione</w:t>
      </w:r>
      <w:bookmarkEnd w:id="3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formazione.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36" wp14:anchorId="0D584F8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43" name="Casella di test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6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0D584F80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7" w:name="_Toc56760981"/>
      <w:r>
        <w:rPr/>
        <w:t>Misure specifiche di rotazione</w:t>
      </w:r>
      <w:bookmarkEnd w:id="3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rotazione.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38" wp14:anchorId="0FEEA6A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45" name="Casella di test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7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0FEEA6A9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Titolo2"/>
        <w:rPr/>
      </w:pPr>
      <w:bookmarkStart w:id="38" w:name="_Toc56760982"/>
      <w:r>
        <w:rPr/>
        <w:t>Misure specifiche di disciplina del conflitto di interessi</w:t>
      </w:r>
      <w:bookmarkEnd w:id="3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disciplina del conflitto di interessi.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0" distL="117475" distR="114300" simplePos="0" locked="0" layoutInCell="0" allowOverlap="1" relativeHeight="40" wp14:anchorId="517C6D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625" cy="659765"/>
                <wp:effectExtent l="0" t="0" r="22860" b="26670"/>
                <wp:wrapTopAndBottom/>
                <wp:docPr id="47" name="Casella di test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8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517C6DF8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>Note del RPCT: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4093545"/>
    </w:sdtPr>
    <w:sdtContent>
      <w:p>
        <w:pPr>
          <w:pStyle w:val="Pidipagin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caps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caps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lvlText w:val="SEZIONE %1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Titolo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Titolo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Titolo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Titolo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Tito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8c5207"/>
    <w:pPr>
      <w:keepNext w:val="true"/>
      <w:keepLines/>
      <w:numPr>
        <w:ilvl w:val="0"/>
        <w:numId w:val="1"/>
      </w:numPr>
      <w:pBdr>
        <w:bottom w:val="single" w:sz="4" w:space="1" w:color="000000"/>
      </w:pBd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dd6527"/>
    <w:pPr>
      <w:keepNext w:val="true"/>
      <w:keepLines/>
      <w:numPr>
        <w:ilvl w:val="1"/>
        <w:numId w:val="1"/>
      </w:numPr>
      <w:pBdr>
        <w:bottom w:val="single" w:sz="4" w:space="1" w:color="000000"/>
      </w:pBd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i/>
      <w:color w:val="4472C4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c74f37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380b17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380b17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380b17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380b17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380b17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380b17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24ebb"/>
    <w:rPr/>
  </w:style>
  <w:style w:type="character" w:styleId="Pagenumber">
    <w:name w:val="page number"/>
    <w:basedOn w:val="DefaultParagraphFont"/>
    <w:uiPriority w:val="99"/>
    <w:semiHidden/>
    <w:unhideWhenUsed/>
    <w:qFormat/>
    <w:rsid w:val="00424eb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8c5207"/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dd6527"/>
    <w:rPr>
      <w:rFonts w:ascii="Calibri Light" w:hAnsi="Calibri Light" w:eastAsia="" w:cs="" w:asciiTheme="majorHAnsi" w:cstheme="majorBidi" w:eastAsiaTheme="majorEastAsia" w:hAnsiTheme="majorHAnsi"/>
      <w:i/>
      <w:color w:val="4472C4" w:themeColor="accent1"/>
      <w:sz w:val="26"/>
      <w:szCs w:val="26"/>
    </w:rPr>
  </w:style>
  <w:style w:type="character" w:styleId="CollegamentoInternet">
    <w:name w:val="Collegamento Internet"/>
    <w:basedOn w:val="DefaultParagraphFont"/>
    <w:uiPriority w:val="99"/>
    <w:unhideWhenUsed/>
    <w:rsid w:val="007d3b4c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7b9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b37b9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b37b9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37b9b"/>
    <w:rPr>
      <w:rFonts w:ascii="Times New Roman" w:hAnsi="Times New Roman"/>
      <w:sz w:val="18"/>
      <w:szCs w:val="18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c74f37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380b17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80b17"/>
    <w:rPr/>
  </w:style>
  <w:style w:type="character" w:styleId="Saltoaindice">
    <w:name w:val="Salto a indic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424eb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Heading">
    <w:name w:val="TOC Heading"/>
    <w:basedOn w:val="Titolo1"/>
    <w:next w:val="Normal"/>
    <w:uiPriority w:val="39"/>
    <w:unhideWhenUsed/>
    <w:qFormat/>
    <w:rsid w:val="007d3b4c"/>
    <w:pPr>
      <w:numPr>
        <w:ilvl w:val="0"/>
        <w:numId w:val="0"/>
      </w:numPr>
      <w:pBdr>
        <w:bottom w:val="nil"/>
      </w:pBdr>
      <w:spacing w:lineRule="auto" w:line="276" w:before="480" w:after="0"/>
      <w:outlineLvl w:val="9"/>
    </w:pPr>
    <w:rPr>
      <w:bCs/>
      <w:sz w:val="28"/>
      <w:szCs w:val="28"/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rsid w:val="007d3b4c"/>
    <w:pPr>
      <w:spacing w:before="120" w:after="0"/>
    </w:pPr>
    <w:rPr>
      <w:b/>
      <w:bCs/>
      <w:i/>
      <w:iCs/>
    </w:rPr>
  </w:style>
  <w:style w:type="paragraph" w:styleId="Indice2">
    <w:name w:val="TOC 2"/>
    <w:basedOn w:val="Normal"/>
    <w:next w:val="Normal"/>
    <w:autoRedefine/>
    <w:uiPriority w:val="39"/>
    <w:unhideWhenUsed/>
    <w:rsid w:val="007d3b4c"/>
    <w:pPr>
      <w:spacing w:before="120" w:after="0"/>
      <w:ind w:left="240" w:hanging="0"/>
    </w:pPr>
    <w:rPr>
      <w:b/>
      <w:bCs/>
      <w:sz w:val="22"/>
      <w:szCs w:val="22"/>
    </w:rPr>
  </w:style>
  <w:style w:type="paragraph" w:styleId="Indice3">
    <w:name w:val="TOC 3"/>
    <w:basedOn w:val="Normal"/>
    <w:next w:val="Normal"/>
    <w:autoRedefine/>
    <w:uiPriority w:val="39"/>
    <w:unhideWhenUsed/>
    <w:rsid w:val="007d3b4c"/>
    <w:pPr>
      <w:ind w:left="480" w:hanging="0"/>
    </w:pPr>
    <w:rPr>
      <w:sz w:val="20"/>
      <w:szCs w:val="20"/>
    </w:rPr>
  </w:style>
  <w:style w:type="paragraph" w:styleId="Indice4">
    <w:name w:val="TOC 4"/>
    <w:basedOn w:val="Normal"/>
    <w:next w:val="Normal"/>
    <w:autoRedefine/>
    <w:uiPriority w:val="39"/>
    <w:semiHidden/>
    <w:unhideWhenUsed/>
    <w:rsid w:val="007d3b4c"/>
    <w:pPr>
      <w:ind w:left="720" w:hanging="0"/>
    </w:pPr>
    <w:rPr>
      <w:sz w:val="20"/>
      <w:szCs w:val="20"/>
    </w:rPr>
  </w:style>
  <w:style w:type="paragraph" w:styleId="Indice5">
    <w:name w:val="TOC 5"/>
    <w:basedOn w:val="Normal"/>
    <w:next w:val="Normal"/>
    <w:autoRedefine/>
    <w:uiPriority w:val="39"/>
    <w:semiHidden/>
    <w:unhideWhenUsed/>
    <w:rsid w:val="007d3b4c"/>
    <w:pPr>
      <w:ind w:left="960" w:hanging="0"/>
    </w:pPr>
    <w:rPr>
      <w:sz w:val="20"/>
      <w:szCs w:val="20"/>
    </w:rPr>
  </w:style>
  <w:style w:type="paragraph" w:styleId="Indice6">
    <w:name w:val="TOC 6"/>
    <w:basedOn w:val="Normal"/>
    <w:next w:val="Normal"/>
    <w:autoRedefine/>
    <w:uiPriority w:val="39"/>
    <w:semiHidden/>
    <w:unhideWhenUsed/>
    <w:rsid w:val="007d3b4c"/>
    <w:pPr>
      <w:ind w:left="1200" w:hanging="0"/>
    </w:pPr>
    <w:rPr>
      <w:sz w:val="20"/>
      <w:szCs w:val="20"/>
    </w:rPr>
  </w:style>
  <w:style w:type="paragraph" w:styleId="Indice7">
    <w:name w:val="TOC 7"/>
    <w:basedOn w:val="Normal"/>
    <w:next w:val="Normal"/>
    <w:autoRedefine/>
    <w:uiPriority w:val="39"/>
    <w:semiHidden/>
    <w:unhideWhenUsed/>
    <w:rsid w:val="007d3b4c"/>
    <w:pPr>
      <w:ind w:left="1440" w:hanging="0"/>
    </w:pPr>
    <w:rPr>
      <w:sz w:val="20"/>
      <w:szCs w:val="20"/>
    </w:rPr>
  </w:style>
  <w:style w:type="paragraph" w:styleId="Indice8">
    <w:name w:val="TOC 8"/>
    <w:basedOn w:val="Normal"/>
    <w:next w:val="Normal"/>
    <w:autoRedefine/>
    <w:uiPriority w:val="39"/>
    <w:semiHidden/>
    <w:unhideWhenUsed/>
    <w:rsid w:val="007d3b4c"/>
    <w:pPr>
      <w:ind w:left="1680" w:hanging="0"/>
    </w:pPr>
    <w:rPr>
      <w:sz w:val="20"/>
      <w:szCs w:val="20"/>
    </w:rPr>
  </w:style>
  <w:style w:type="paragraph" w:styleId="Indice9">
    <w:name w:val="TOC 9"/>
    <w:basedOn w:val="Normal"/>
    <w:next w:val="Normal"/>
    <w:autoRedefine/>
    <w:uiPriority w:val="39"/>
    <w:semiHidden/>
    <w:unhideWhenUsed/>
    <w:rsid w:val="007d3b4c"/>
    <w:pPr>
      <w:ind w:left="1920" w:hanging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22a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b37b9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37b9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37b9b"/>
    <w:pPr/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36ec"/>
    <w:pPr>
      <w:spacing w:before="0" w:after="200"/>
    </w:pPr>
    <w:rPr>
      <w:rFonts w:ascii="Times New Roman" w:hAnsi="Times New Roman" w:eastAsia="Times New Roman" w:cs="Times New Roman"/>
      <w:i/>
      <w:iCs/>
      <w:color w:val="44546A" w:themeColor="text2"/>
      <w:sz w:val="18"/>
      <w:szCs w:val="18"/>
      <w:lang w:eastAsia="it-IT"/>
    </w:rPr>
  </w:style>
  <w:style w:type="paragraph" w:styleId="Intestazione">
    <w:name w:val="Header"/>
    <w:basedOn w:val="Normal"/>
    <w:link w:val="IntestazioneCarattere"/>
    <w:uiPriority w:val="99"/>
    <w:unhideWhenUsed/>
    <w:rsid w:val="00380b1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62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LibreOffice/7.2.1.2$Windows_X86_64 LibreOffice_project/87b77fad49947c1441b67c559c339af8f3517e22</Application>
  <AppVersion>15.0000</AppVersion>
  <Pages>12</Pages>
  <Words>3113</Words>
  <Characters>18504</Characters>
  <CharactersWithSpaces>21545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2024-01-04T09:50:00Z</dcterms:created>
  <dc:creator>Utente di Microsoft Office</dc:creator>
  <dc:description/>
  <dc:language>it-IT</dc:language>
  <cp:lastModifiedBy>Lanza Giuseppe</cp:lastModifiedBy>
  <dcterms:modified xsi:type="dcterms:W3CDTF">2025-12-05T14:03:00Z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